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5876" w:type="dxa"/>
        <w:jc w:val="center"/>
        <w:tblInd w:w="0" w:type="dxa"/>
        <w:tblLayout w:type="fixed"/>
        <w:tblCellMar>
          <w:top w:w="0" w:type="dxa"/>
          <w:start w:w="99" w:type="dxa"/>
          <w:bottom w:w="0" w:type="dxa"/>
          <w:end w:w="99" w:type="dxa"/>
        </w:tblCellMar>
      </w:tblPr>
      <w:tblGrid>
        <w:gridCol w:w="606"/>
        <w:gridCol w:w="908"/>
        <w:gridCol w:w="1209"/>
        <w:gridCol w:w="1209"/>
        <w:gridCol w:w="1115"/>
        <w:gridCol w:w="4177"/>
        <w:gridCol w:w="4233"/>
        <w:gridCol w:w="2419"/>
      </w:tblGrid>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t xml:space="preserve">US</w:t>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t xml:space="preserve">3.2</w:t>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t xml:space="preserve">te</w:t>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t xml:space="preserve">The definition establishes organizational structure but does not establish the decision-authority threshold that distinguishes governance from oversight, management, Responsible AI controls, or human participation. Clause 3.2 cites no source vocabulary, unlike the neighboring entries in Clause 3, which adopt definitions from ISO/IEC 22989:2022 or ISO/IEC 2382:2015.</w:t>
            </w:r>
          </w:p>
          <w:p>
            <w:pPr>
              <w:pStyle w:val="ISOComments"/>
              <w:snapToGrid w:val="false"/>
              <w:spacing w:lineRule="auto" w:line="240" w:before="60" w:after="60"/>
              <w:rPr>
                <w:rFonts w:ascii="Calibri" w:hAnsi="Calibri" w:cs="Calibri"/>
                <w:sz w:val="20"/>
              </w:rPr>
            </w:pPr>
            <w:r>
              <w:rPr>
                <w:rFonts w:cs="Calibri" w:ascii="Calibri" w:hAnsi="Calibri"/>
                <w:sz w:val="20"/>
              </w:rPr>
              <w:t xml:space="preserve">Regulation has moved toward the same threshold on its own terms. New York’s Part 161, effective June 1, 2026, governs the use of AI in court papers while requiring the filer to review the paper and independently verify its contents. Regulation (EU) 2026/1744 deferred the EU AI Act’s high-risk obligations, including Article 14 human oversight, to December 2, 2027 for Annex III systems, without removing them.</w:t>
            </w:r>
          </w:p>
          <w:p>
            <w:pPr>
              <w:pStyle w:val="ISOComments"/>
              <w:snapToGrid w:val="false"/>
              <w:spacing w:lineRule="auto" w:line="240" w:before="60" w:after="60"/>
              <w:rPr>
                <w:rFonts w:ascii="Calibri" w:hAnsi="Calibri" w:cs="Calibri"/>
                <w:sz w:val="20"/>
              </w:rPr>
            </w:pPr>
            <w:r>
              <w:rPr>
                <w:rFonts w:cs="Calibri" w:ascii="Calibri" w:hAnsi="Calibri"/>
                <w:sz w:val="20"/>
              </w:rPr>
              <w:t xml:space="preserve">Supporting memo, operational scope, and development record: https://basilpuglisi.com/iso-21520-ai-governance-comment/</w:t>
            </w:r>
          </w:p>
        </w:tc>
        <w:tc>
          <w:tcPr>
            <w:tcW w:w="4233" w:type="dxa"/>
            <w:tcBorders>
              <w:top w:val="single" w:sz="6" w:space="0" w:color="000000"/>
              <w:start w:val="single" w:sz="6" w:space="0" w:color="000000"/>
              <w:bottom w:val="single" w:sz="6" w:space="0" w:color="000000"/>
              <w:end w:val="single" w:sz="6" w:space="0" w:color="000000"/>
            </w:tcBorders>
          </w:tcPr>
          <w:p>
            <w:pPr>
              <w:pStyle w:val="ISOChange"/>
              <w:snapToGrid w:val="false"/>
              <w:spacing w:lineRule="auto" w:line="240" w:before="60" w:after="60"/>
              <w:rPr>
                <w:rFonts w:ascii="Calibri" w:hAnsi="Calibri" w:cs="Calibri"/>
                <w:sz w:val="20"/>
              </w:rPr>
            </w:pPr>
            <w:r>
              <w:rPr>
                <w:rFonts w:cs="Calibri" w:ascii="Calibri" w:hAnsi="Calibri"/>
                <w:sz w:val="20"/>
              </w:rPr>
              <w:t xml:space="preserve">Revise Clause 3.2 so that the definition of artificial intelligence governance expressly identifies binding human decision authority and attributable human accountability as elements that distinguish governance from organizational process, oversight, and Responsible AI controls.</w:t>
            </w:r>
          </w:p>
          <w:p>
            <w:pPr>
              <w:pStyle w:val="ISOChange"/>
              <w:snapToGrid w:val="false"/>
              <w:spacing w:lineRule="auto" w:line="240" w:before="60" w:after="60"/>
              <w:rPr>
                <w:rFonts w:ascii="Calibri" w:hAnsi="Calibri" w:cs="Calibri"/>
                <w:sz w:val="20"/>
              </w:rPr>
            </w:pPr>
            <w:r>
              <w:rPr>
                <w:rFonts w:cs="Calibri" w:ascii="Calibri" w:hAnsi="Calibri"/>
                <w:sz w:val="20"/>
              </w:rPr>
              <w:t xml:space="preserve">Proposed language (applied): AI Governance exists when a qualified human holds binding authority at specific checkpoints, with personal accountability for the outputs that pass through.</w:t>
            </w:r>
          </w:p>
          <w:p>
            <w:pPr>
              <w:pStyle w:val="ISOChange"/>
              <w:snapToGrid w:val="false"/>
              <w:spacing w:lineRule="auto" w:line="240" w:before="60" w:after="60"/>
              <w:rPr>
                <w:rFonts w:ascii="Calibri" w:hAnsi="Calibri" w:cs="Calibri"/>
                <w:sz w:val="20"/>
              </w:rPr>
            </w:pPr>
            <w:r>
              <w:rPr>
                <w:rFonts w:cs="Calibri" w:ascii="Calibri" w:hAnsi="Calibri"/>
                <w:sz w:val="20"/>
              </w:rPr>
              <w:t xml:space="preserve">Proposed language (full scope): AI Governance is the system of decision authority, accountability structures, and oversight mechanisms through which named humans hold binding power to accept, modify, or reject AI outputs at defined checkpoints, with authority that cannot be delegated to the AI system being governed and accountability that survives audit through moral, professional, civil, and criminal channels.</w:t>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rPr>
            </w:pPr>
            <w:r>
              <w:rPr>
                <w:rFonts w:cs="Calibri" w:ascii="Calibri" w:hAnsi="Calibri"/>
                <w:sz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t xml:space="preserve">US</w:t>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t xml:space="preserve">3.1</w:t>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t xml:space="preserve">ed</w:t>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t xml:space="preserve">Clause 3.1 refers to “AI systems (3.2),” but the AI system definition appears at 3.4.</w:t>
            </w:r>
          </w:p>
        </w:tc>
        <w:tc>
          <w:tcPr>
            <w:tcW w:w="4233" w:type="dxa"/>
            <w:tcBorders>
              <w:top w:val="single" w:sz="6" w:space="0" w:color="000000"/>
              <w:start w:val="single" w:sz="6" w:space="0" w:color="000000"/>
              <w:bottom w:val="single" w:sz="6" w:space="0" w:color="000000"/>
              <w:end w:val="single" w:sz="6" w:space="0" w:color="000000"/>
            </w:tcBorders>
          </w:tcPr>
          <w:p>
            <w:pPr>
              <w:pStyle w:val="ISOChange"/>
              <w:snapToGrid w:val="false"/>
              <w:spacing w:lineRule="auto" w:line="240" w:before="60" w:after="60"/>
              <w:rPr>
                <w:rFonts w:ascii="Calibri" w:hAnsi="Calibri" w:cs="Calibri"/>
                <w:sz w:val="20"/>
              </w:rPr>
            </w:pPr>
            <w:r>
              <w:rPr>
                <w:rFonts w:cs="Calibri" w:ascii="Calibri" w:hAnsi="Calibri"/>
                <w:sz w:val="20"/>
              </w:rPr>
              <w:t xml:space="preserve">Change the cross-reference to (3.4).</w:t>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rPr>
            </w:pPr>
            <w:r>
              <w:rPr>
                <w:rFonts w:cs="Calibri" w:ascii="Calibri" w:hAnsi="Calibri"/>
                <w:sz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t xml:space="preserve">US</w:t>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t xml:space="preserve">3.4</w:t>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t xml:space="preserve">Note 1 to entry</w:t>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t xml:space="preserve">ed</w:t>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t xml:space="preserve">Clause 3.4 defines an “engineering system,” while its Note 1 refers to “the engineered system.”</w:t>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t xml:space="preserve">Use one term consistently in the definition and in Note 1 to entry.</w:t>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i/>
                <w:i/>
                <w:iCs/>
                <w:sz w:val="20"/>
              </w:rPr>
            </w:pPr>
            <w:r>
              <w:rPr>
                <w:rFonts w:cs="Calibri" w:ascii="Calibri" w:hAnsi="Calibri"/>
                <w:i/>
                <w:iCs/>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i/>
                <w:i/>
                <w:iCs/>
                <w:sz w:val="20"/>
              </w:rPr>
            </w:pPr>
            <w:r>
              <w:rPr>
                <w:rFonts w:cs="Calibri" w:ascii="Calibri" w:hAnsi="Calibri"/>
                <w:i/>
                <w:iCs/>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r>
        <w:trPr/>
        <w:tc>
          <w:tcPr>
            <w:tcW w:w="606" w:type="dxa"/>
            <w:tcBorders>
              <w:top w:val="single" w:sz="6" w:space="0" w:color="000000"/>
              <w:start w:val="single" w:sz="6" w:space="0" w:color="000000"/>
              <w:bottom w:val="single" w:sz="6" w:space="0" w:color="000000"/>
              <w:end w:val="single" w:sz="6" w:space="0" w:color="000000"/>
            </w:tcBorders>
          </w:tcPr>
          <w:p>
            <w:pPr>
              <w:pStyle w:val="ISOMB"/>
              <w:snapToGrid w:val="false"/>
              <w:spacing w:lineRule="auto" w:line="240" w:before="60" w:after="60"/>
              <w:rPr>
                <w:rFonts w:ascii="Calibri" w:hAnsi="Calibri" w:cs="Calibri"/>
                <w:sz w:val="20"/>
              </w:rPr>
            </w:pPr>
            <w:r>
              <w:rPr>
                <w:rFonts w:cs="Calibri" w:ascii="Calibri" w:hAnsi="Calibri"/>
                <w:sz w:val="20"/>
              </w:rPr>
            </w:r>
          </w:p>
        </w:tc>
        <w:tc>
          <w:tcPr>
            <w:tcW w:w="908" w:type="dxa"/>
            <w:tcBorders>
              <w:top w:val="single" w:sz="6" w:space="0" w:color="000000"/>
              <w:start w:val="single" w:sz="6" w:space="0" w:color="000000"/>
              <w:bottom w:val="single" w:sz="6" w:space="0" w:color="000000"/>
              <w:end w:val="single" w:sz="6" w:space="0" w:color="000000"/>
            </w:tcBorders>
          </w:tcPr>
          <w:p>
            <w:pPr>
              <w:pStyle w:val="ISOClause"/>
              <w:snapToGrid w:val="false"/>
              <w:spacing w:lineRule="auto" w:line="240" w:before="60" w:after="60"/>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Normal"/>
              <w:snapToGrid w:val="false"/>
              <w:rPr>
                <w:rFonts w:ascii="Calibri" w:hAnsi="Calibri" w:cs="Calibri"/>
                <w:sz w:val="20"/>
              </w:rPr>
            </w:pPr>
            <w:r>
              <w:rPr>
                <w:rFonts w:cs="Calibri" w:ascii="Calibri" w:hAnsi="Calibri"/>
                <w:sz w:val="20"/>
              </w:rPr>
            </w:r>
          </w:p>
        </w:tc>
        <w:tc>
          <w:tcPr>
            <w:tcW w:w="1209" w:type="dxa"/>
            <w:tcBorders>
              <w:top w:val="single" w:sz="6" w:space="0" w:color="000000"/>
              <w:start w:val="single" w:sz="6" w:space="0" w:color="000000"/>
              <w:bottom w:val="single" w:sz="6" w:space="0" w:color="000000"/>
              <w:end w:val="single" w:sz="6" w:space="0" w:color="000000"/>
            </w:tcBorders>
          </w:tcPr>
          <w:p>
            <w:pPr>
              <w:pStyle w:val="ISOParagraph"/>
              <w:snapToGrid w:val="false"/>
              <w:spacing w:lineRule="auto" w:line="240" w:before="60" w:after="60"/>
              <w:rPr>
                <w:rFonts w:ascii="Calibri" w:hAnsi="Calibri" w:cs="Calibri"/>
                <w:sz w:val="20"/>
              </w:rPr>
            </w:pPr>
            <w:r>
              <w:rPr>
                <w:rFonts w:cs="Calibri" w:ascii="Calibri" w:hAnsi="Calibri"/>
                <w:sz w:val="20"/>
              </w:rPr>
            </w:r>
          </w:p>
        </w:tc>
        <w:tc>
          <w:tcPr>
            <w:tcW w:w="1115" w:type="dxa"/>
            <w:tcBorders>
              <w:top w:val="single" w:sz="6" w:space="0" w:color="000000"/>
              <w:start w:val="single" w:sz="6" w:space="0" w:color="000000"/>
              <w:bottom w:val="single" w:sz="6" w:space="0" w:color="000000"/>
              <w:end w:val="single" w:sz="6" w:space="0" w:color="000000"/>
            </w:tcBorders>
          </w:tcPr>
          <w:p>
            <w:pPr>
              <w:pStyle w:val="ISOCommType"/>
              <w:snapToGrid w:val="false"/>
              <w:spacing w:lineRule="auto" w:line="240" w:before="60" w:after="60"/>
              <w:rPr>
                <w:rFonts w:ascii="Calibri" w:hAnsi="Calibri" w:cs="Calibri"/>
                <w:sz w:val="20"/>
              </w:rPr>
            </w:pPr>
            <w:r>
              <w:rPr>
                <w:rFonts w:cs="Calibri" w:ascii="Calibri" w:hAnsi="Calibri"/>
                <w:sz w:val="20"/>
              </w:rPr>
            </w:r>
          </w:p>
        </w:tc>
        <w:tc>
          <w:tcPr>
            <w:tcW w:w="4177" w:type="dxa"/>
            <w:tcBorders>
              <w:top w:val="single" w:sz="6" w:space="0" w:color="000000"/>
              <w:start w:val="single" w:sz="6" w:space="0" w:color="000000"/>
              <w:bottom w:val="single" w:sz="6" w:space="0" w:color="000000"/>
              <w:end w:val="single" w:sz="6" w:space="0" w:color="000000"/>
            </w:tcBorders>
          </w:tcPr>
          <w:p>
            <w:pPr>
              <w:pStyle w:val="ISOComments"/>
              <w:snapToGrid w:val="false"/>
              <w:spacing w:lineRule="auto" w:line="240" w:before="60" w:after="60"/>
              <w:rPr>
                <w:rFonts w:ascii="Calibri" w:hAnsi="Calibri" w:cs="Calibri"/>
                <w:sz w:val="20"/>
              </w:rPr>
            </w:pPr>
            <w:r>
              <w:rPr>
                <w:rFonts w:cs="Calibri" w:ascii="Calibri" w:hAnsi="Calibri"/>
                <w:sz w:val="20"/>
              </w:rPr>
            </w:r>
          </w:p>
        </w:tc>
        <w:tc>
          <w:tcPr>
            <w:tcW w:w="4233" w:type="dxa"/>
            <w:tcBorders>
              <w:top w:val="single" w:sz="6" w:space="0" w:color="000000"/>
              <w:start w:val="single" w:sz="6" w:space="0" w:color="000000"/>
              <w:bottom w:val="single" w:sz="6" w:space="0" w:color="000000"/>
              <w:end w:val="single" w:sz="6" w:space="0" w:color="000000"/>
            </w:tcBorders>
          </w:tcPr>
          <w:p>
            <w:pPr>
              <w:pStyle w:val="Default"/>
              <w:snapToGrid w:val="false"/>
              <w:rPr>
                <w:rFonts w:ascii="Calibri" w:hAnsi="Calibri" w:cs="Calibri"/>
                <w:sz w:val="20"/>
                <w:szCs w:val="20"/>
              </w:rPr>
            </w:pPr>
            <w:r>
              <w:rPr>
                <w:rFonts w:cs="Calibri" w:ascii="Calibri" w:hAnsi="Calibri"/>
                <w:sz w:val="20"/>
                <w:szCs w:val="20"/>
              </w:rPr>
            </w:r>
          </w:p>
        </w:tc>
        <w:tc>
          <w:tcPr>
            <w:tcW w:w="2419" w:type="dxa"/>
            <w:tcBorders>
              <w:top w:val="single" w:sz="6" w:space="0" w:color="000000"/>
              <w:start w:val="single" w:sz="6" w:space="0" w:color="000000"/>
              <w:bottom w:val="single" w:sz="6" w:space="0" w:color="000000"/>
              <w:end w:val="single" w:sz="6" w:space="0" w:color="000000"/>
            </w:tcBorders>
          </w:tcPr>
          <w:p>
            <w:pPr>
              <w:pStyle w:val="ISOSecretObservations"/>
              <w:snapToGrid w:val="false"/>
              <w:spacing w:lineRule="auto" w:line="240" w:before="60" w:after="60"/>
              <w:rPr>
                <w:rFonts w:ascii="Calibri" w:hAnsi="Calibri" w:cs="Calibri"/>
                <w:sz w:val="20"/>
                <w:szCs w:val="20"/>
              </w:rPr>
            </w:pPr>
            <w:r>
              <w:rPr>
                <w:rFonts w:cs="Calibri" w:ascii="Calibri" w:hAnsi="Calibri"/>
                <w:sz w:val="20"/>
                <w:szCs w:val="20"/>
              </w:rPr>
            </w:r>
          </w:p>
        </w:tc>
      </w:tr>
    </w:tbl>
    <w:p>
      <w:pPr>
        <w:pStyle w:val="Normal"/>
        <w:spacing w:lineRule="exact" w:line="240"/>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sectPr>
      <w:headerReference w:type="default" r:id="rId2"/>
      <w:footerReference w:type="default" r:id="rId3"/>
      <w:type w:val="nextPage"/>
      <w:pgSz w:orient="landscape" w:w="16838" w:h="11906"/>
      <w:pgMar w:left="851" w:right="851" w:gutter="0" w:header="567" w:top="851" w:footer="567" w:bottom="851"/>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820"/>
        <w:tab w:val="clear" w:pos="9639"/>
        <w:tab w:val="left" w:pos="284" w:leader="none"/>
        <w:tab w:val="left" w:pos="3969" w:leader="none"/>
      </w:tabs>
      <w:spacing w:before="20" w:after="20"/>
      <w:jc w:val="start"/>
      <w:rPr/>
    </w:pPr>
    <w:r>
      <w:rPr>
        <w:rStyle w:val="PageNumber"/>
        <w:bCs/>
        <w:sz w:val="16"/>
      </w:rPr>
      <w:t>1</w:t>
      <w:tab/>
    </w:r>
    <w:r>
      <w:rPr>
        <w:rStyle w:val="PageNumber"/>
        <w:b/>
        <w:sz w:val="16"/>
      </w:rPr>
      <w:t>MB</w:t>
    </w:r>
    <w:r>
      <w:rPr>
        <w:rStyle w:val="PageNumber"/>
        <w:bCs/>
        <w:sz w:val="16"/>
      </w:rPr>
      <w:t xml:space="preserve"> = Member body / </w:t>
    </w:r>
    <w:r>
      <w:rPr>
        <w:rStyle w:val="PageNumber"/>
        <w:b/>
        <w:bCs/>
        <w:sz w:val="16"/>
      </w:rPr>
      <w:t>NC</w:t>
    </w:r>
    <w:r>
      <w:rPr>
        <w:rStyle w:val="PageNumber"/>
        <w:bCs/>
        <w:sz w:val="16"/>
      </w:rPr>
      <w:t xml:space="preserve"> = National Committee (enter the ISO 3166 two-letter country code, e.g. CN for China; comments from the ISO/CS editing unit are identified by </w:t>
    </w:r>
    <w:r>
      <w:rPr>
        <w:rStyle w:val="PageNumber"/>
        <w:b/>
        <w:sz w:val="16"/>
      </w:rPr>
      <w:t>**</w:t>
    </w:r>
    <w:r>
      <w:rPr>
        <w:rStyle w:val="PageNumber"/>
        <w:bCs/>
        <w:sz w:val="16"/>
      </w:rPr>
      <w:t>)</w:t>
    </w:r>
  </w:p>
  <w:p>
    <w:pPr>
      <w:pStyle w:val="Footer"/>
      <w:tabs>
        <w:tab w:val="clear" w:pos="4820"/>
        <w:tab w:val="clear" w:pos="9639"/>
        <w:tab w:val="left" w:pos="284" w:leader="none"/>
        <w:tab w:val="left" w:pos="1843" w:leader="none"/>
        <w:tab w:val="left" w:pos="2268" w:leader="none"/>
        <w:tab w:val="left" w:pos="3119" w:leader="none"/>
        <w:tab w:val="left" w:pos="4395" w:leader="none"/>
      </w:tabs>
      <w:spacing w:before="20" w:after="20"/>
      <w:jc w:val="start"/>
      <w:rPr/>
    </w:pPr>
    <w:r>
      <w:rPr>
        <w:rStyle w:val="PageNumber"/>
        <w:sz w:val="16"/>
      </w:rPr>
      <w:t>2</w:t>
    </w:r>
    <w:r>
      <w:rPr>
        <w:rStyle w:val="PageNumber"/>
        <w:b/>
        <w:sz w:val="16"/>
      </w:rPr>
      <w:tab/>
      <w:t>Type of comment:</w:t>
    </w:r>
    <w:r>
      <w:rPr>
        <w:rStyle w:val="PageNumber"/>
        <w:bCs/>
        <w:sz w:val="16"/>
      </w:rPr>
      <w:tab/>
    </w:r>
    <w:r>
      <w:rPr>
        <w:rStyle w:val="PageNumber"/>
        <w:b/>
        <w:sz w:val="16"/>
      </w:rPr>
      <w:t>ge</w:t>
    </w:r>
    <w:r>
      <w:rPr>
        <w:rStyle w:val="PageNumber"/>
        <w:bCs/>
        <w:sz w:val="16"/>
      </w:rPr>
      <w:t xml:space="preserve"> = general</w:t>
      <w:tab/>
    </w:r>
    <w:r>
      <w:rPr>
        <w:rStyle w:val="PageNumber"/>
        <w:b/>
        <w:sz w:val="16"/>
      </w:rPr>
      <w:t>te</w:t>
    </w:r>
    <w:r>
      <w:rPr>
        <w:rStyle w:val="PageNumber"/>
        <w:bCs/>
        <w:sz w:val="16"/>
      </w:rPr>
      <w:t xml:space="preserve"> = technical </w:t>
      <w:tab/>
    </w:r>
    <w:r>
      <w:rPr>
        <w:rStyle w:val="PageNumber"/>
        <w:b/>
        <w:sz w:val="16"/>
      </w:rPr>
      <w:t>ed</w:t>
    </w:r>
    <w:r>
      <w:rPr>
        <w:rStyle w:val="PageNumber"/>
        <w:bCs/>
        <w:sz w:val="16"/>
      </w:rPr>
      <w:t xml:space="preserve"> = editorial </w:t>
    </w:r>
  </w:p>
  <w:p>
    <w:pPr>
      <w:pStyle w:val="Footer"/>
      <w:tabs>
        <w:tab w:val="clear" w:pos="4820"/>
        <w:tab w:val="clear" w:pos="9639"/>
      </w:tabs>
      <w:jc w:val="end"/>
      <w:rPr>
        <w:rStyle w:val="PageNumber"/>
        <w:sz w:val="16"/>
      </w:rPr>
    </w:pPr>
    <w:r>
      <w:rPr>
        <w:rStyle w:val="PageNumber"/>
        <w:sz w:val="16"/>
        <w:lang w:val="en-US"/>
      </w:rPr>
      <w:t xml:space="preserve">page </w:t>
    </w:r>
    <w:r>
      <w:rPr>
        <w:rStyle w:val="PageNumber"/>
        <w:sz w:val="16"/>
        <w:lang w:val="en-US"/>
      </w:rPr>
      <w:fldChar w:fldCharType="begin"/>
    </w:r>
    <w:r>
      <w:rPr>
        <w:rStyle w:val="PageNumber"/>
        <w:sz w:val="16"/>
        <w:lang w:val="en-US"/>
      </w:rPr>
      <w:instrText xml:space="preserve"> PAGE </w:instrText>
    </w:r>
    <w:r>
      <w:rPr>
        <w:rStyle w:val="PageNumber"/>
        <w:sz w:val="16"/>
        <w:lang w:val="en-US"/>
      </w:rPr>
      <w:fldChar w:fldCharType="separate"/>
    </w:r>
    <w:r>
      <w:rPr>
        <w:rStyle w:val="PageNumber"/>
        <w:sz w:val="16"/>
        <w:lang w:val="en-US"/>
      </w:rPr>
      <w:t>2</w:t>
    </w:r>
    <w:r>
      <w:rPr>
        <w:rStyle w:val="PageNumber"/>
        <w:sz w:val="16"/>
        <w:lang w:val="en-US"/>
      </w:rPr>
      <w:fldChar w:fldCharType="end"/>
    </w:r>
    <w:r>
      <w:rPr>
        <w:rStyle w:val="PageNumber"/>
        <w:sz w:val="16"/>
        <w:lang w:val="en-US"/>
      </w:rPr>
      <w:t xml:space="preserve"> of </w:t>
    </w:r>
    <w:r>
      <w:rPr>
        <w:rStyle w:val="PageNumber"/>
        <w:sz w:val="16"/>
        <w:lang w:val="en-US"/>
      </w:rPr>
      <w:fldChar w:fldCharType="begin"/>
    </w:r>
    <w:r>
      <w:rPr>
        <w:rStyle w:val="PageNumber"/>
        <w:sz w:val="16"/>
        <w:lang w:val="en-US"/>
      </w:rPr>
      <w:instrText xml:space="preserve"> NUMPAGES \* ARABIC </w:instrText>
    </w:r>
    <w:r>
      <w:rPr>
        <w:rStyle w:val="PageNumber"/>
        <w:sz w:val="16"/>
        <w:lang w:val="en-US"/>
      </w:rPr>
      <w:fldChar w:fldCharType="separate"/>
    </w:r>
    <w:r>
      <w:rPr>
        <w:rStyle w:val="PageNumber"/>
        <w:sz w:val="16"/>
        <w:lang w:val="en-US"/>
      </w:rPr>
      <w:t>2</w:t>
    </w:r>
    <w:r>
      <w:rPr>
        <w:rStyle w:val="PageNumber"/>
        <w:sz w:val="16"/>
        <w:lang w:val="en-US"/>
      </w:rPr>
      <w:fldChar w:fldCharType="end"/>
    </w:r>
  </w:p>
  <w:p>
    <w:pPr>
      <w:pStyle w:val="Footer"/>
      <w:jc w:val="start"/>
      <w:rPr/>
    </w:pPr>
    <w:r>
      <w:rPr>
        <w:rStyle w:val="PageNumber"/>
        <w:i/>
        <w:iCs/>
        <w:sz w:val="16"/>
      </w:rPr>
      <w:t>ISO/IEC/CEN/CENELEC  electronic balloting commenting template/version 2012-03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5876" w:type="dxa"/>
      <w:jc w:val="center"/>
      <w:tblInd w:w="0" w:type="dxa"/>
      <w:tblLayout w:type="fixed"/>
      <w:tblCellMar>
        <w:top w:w="0" w:type="dxa"/>
        <w:start w:w="99" w:type="dxa"/>
        <w:bottom w:w="0" w:type="dxa"/>
        <w:end w:w="99" w:type="dxa"/>
      </w:tblCellMar>
    </w:tblPr>
    <w:tblGrid>
      <w:gridCol w:w="7740"/>
      <w:gridCol w:w="2410"/>
      <w:gridCol w:w="3119"/>
      <w:gridCol w:w="2607"/>
    </w:tblGrid>
    <w:tr>
      <w:trPr>
        <w:cantSplit w:val="true"/>
      </w:trPr>
      <w:tc>
        <w:tcPr>
          <w:tcW w:w="7740" w:type="dxa"/>
          <w:tcBorders/>
        </w:tcPr>
        <w:p>
          <w:pPr>
            <w:pStyle w:val="ISOComments"/>
            <w:spacing w:before="60" w:after="60"/>
            <w:rPr/>
          </w:pPr>
          <w:r>
            <w:rPr>
              <w:rStyle w:val="MTEquationSection"/>
              <w:b/>
              <w:bCs/>
              <w:color w:val="000000"/>
              <w:sz w:val="22"/>
            </w:rPr>
            <w:t>Template for comments and secretariat observations</w:t>
          </w:r>
        </w:p>
      </w:tc>
      <w:tc>
        <w:tcPr>
          <w:tcW w:w="2410" w:type="dxa"/>
          <w:tcBorders>
            <w:top w:val="single" w:sz="6" w:space="0" w:color="000000"/>
            <w:start w:val="single" w:sz="6" w:space="0" w:color="000000"/>
            <w:bottom w:val="single" w:sz="6" w:space="0" w:color="000000"/>
            <w:end w:val="single" w:sz="6" w:space="0" w:color="000000"/>
          </w:tcBorders>
        </w:tcPr>
        <w:p>
          <w:pPr>
            <w:pStyle w:val="ISOChange"/>
            <w:spacing w:before="60" w:after="60"/>
            <w:rPr>
              <w:bCs/>
            </w:rPr>
          </w:pPr>
          <w:r>
            <w:rPr>
              <w:bCs/>
            </w:rPr>
            <w:t>Date: 15 July 2026</w:t>
          </w:r>
        </w:p>
      </w:tc>
      <w:tc>
        <w:tcPr>
          <w:tcW w:w="3119" w:type="dxa"/>
          <w:tcBorders>
            <w:top w:val="single" w:sz="6" w:space="0" w:color="000000"/>
            <w:start w:val="single" w:sz="6" w:space="0" w:color="000000"/>
            <w:bottom w:val="single" w:sz="6" w:space="0" w:color="000000"/>
            <w:end w:val="single" w:sz="6" w:space="0" w:color="000000"/>
          </w:tcBorders>
        </w:tcPr>
        <w:p>
          <w:pPr>
            <w:pStyle w:val="ISOSecretObservations"/>
            <w:spacing w:before="60" w:after="60"/>
            <w:rPr>
              <w:bCs/>
              <w:sz w:val="20"/>
            </w:rPr>
          </w:pPr>
          <w:r>
            <w:rPr>
              <w:bCs/>
            </w:rPr>
            <w:t>Document: DIS 21520</w:t>
          </w:r>
        </w:p>
      </w:tc>
      <w:tc>
        <w:tcPr>
          <w:tcW w:w="2607" w:type="dxa"/>
          <w:tcBorders>
            <w:top w:val="single" w:sz="6" w:space="0" w:color="000000"/>
            <w:start w:val="single" w:sz="6" w:space="0" w:color="000000"/>
            <w:bottom w:val="single" w:sz="6" w:space="0" w:color="000000"/>
            <w:end w:val="single" w:sz="6" w:space="0" w:color="000000"/>
          </w:tcBorders>
        </w:tcPr>
        <w:p>
          <w:pPr>
            <w:pStyle w:val="ISOSecretObservations"/>
            <w:spacing w:before="60" w:after="60"/>
            <w:rPr>
              <w:bCs/>
              <w:sz w:val="20"/>
            </w:rPr>
          </w:pPr>
          <w:r>
            <w:rPr>
              <w:bCs/>
              <w:sz w:val="20"/>
            </w:rPr>
            <w:t>Project:</w:t>
          </w:r>
        </w:p>
      </w:tc>
    </w:tr>
  </w:tbl>
  <w:p>
    <w:pPr>
      <w:pStyle w:val="Header"/>
      <w:rPr/>
    </w:pPr>
    <w:r>
      <w:rPr/>
    </w:r>
  </w:p>
  <w:tbl>
    <w:tblPr>
      <w:tblW w:w="15876" w:type="dxa"/>
      <w:jc w:val="center"/>
      <w:tblInd w:w="0" w:type="dxa"/>
      <w:tblLayout w:type="fixed"/>
      <w:tblCellMar>
        <w:top w:w="0" w:type="dxa"/>
        <w:start w:w="99" w:type="dxa"/>
        <w:bottom w:w="0" w:type="dxa"/>
        <w:end w:w="99" w:type="dxa"/>
      </w:tblCellMar>
    </w:tblPr>
    <w:tblGrid>
      <w:gridCol w:w="606"/>
      <w:gridCol w:w="908"/>
      <w:gridCol w:w="1209"/>
      <w:gridCol w:w="1209"/>
      <w:gridCol w:w="1115"/>
      <w:gridCol w:w="4177"/>
      <w:gridCol w:w="4233"/>
      <w:gridCol w:w="2419"/>
    </w:tblGrid>
    <w:tr>
      <w:trPr>
        <w:cantSplit w:val="true"/>
      </w:trPr>
      <w:tc>
        <w:tcPr>
          <w:tcW w:w="606"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rPr>
          </w:pPr>
          <w:r>
            <w:rPr>
              <w:b/>
              <w:sz w:val="16"/>
            </w:rPr>
            <w:t>MB/NC</w:t>
          </w:r>
          <w:r>
            <w:rPr>
              <w:b/>
              <w:bCs/>
              <w:position w:val="6"/>
              <w:sz w:val="12"/>
            </w:rPr>
            <w:t>1</w:t>
          </w:r>
        </w:p>
      </w:tc>
      <w:tc>
        <w:tcPr>
          <w:tcW w:w="908"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rPr>
          </w:pPr>
          <w:r>
            <w:rPr>
              <w:b/>
              <w:sz w:val="16"/>
            </w:rPr>
            <w:t>Line number</w:t>
          </w:r>
        </w:p>
        <w:p>
          <w:pPr>
            <w:pStyle w:val="Normal"/>
            <w:keepLines/>
            <w:spacing w:lineRule="exact" w:line="190" w:before="0" w:after="60"/>
            <w:jc w:val="center"/>
            <w:rPr>
              <w:b/>
              <w:sz w:val="16"/>
            </w:rPr>
          </w:pPr>
          <w:r>
            <w:rPr>
              <w:bCs/>
              <w:sz w:val="16"/>
            </w:rPr>
            <w:t>(e.g. 17)</w:t>
          </w:r>
        </w:p>
      </w:tc>
      <w:tc>
        <w:tcPr>
          <w:tcW w:w="1209"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szCs w:val="16"/>
            </w:rPr>
          </w:pPr>
          <w:r>
            <w:rPr>
              <w:b/>
              <w:sz w:val="16"/>
              <w:szCs w:val="16"/>
            </w:rPr>
            <w:t>Clause/ Subclause</w:t>
          </w:r>
        </w:p>
        <w:p>
          <w:pPr>
            <w:pStyle w:val="Normal"/>
            <w:keepLines/>
            <w:spacing w:lineRule="exact" w:line="190" w:before="0" w:after="60"/>
            <w:jc w:val="center"/>
            <w:rPr>
              <w:b/>
              <w:sz w:val="16"/>
              <w:szCs w:val="16"/>
            </w:rPr>
          </w:pPr>
          <w:r>
            <w:rPr>
              <w:bCs/>
              <w:sz w:val="16"/>
            </w:rPr>
            <w:t>(e.g. 3.1)</w:t>
          </w:r>
        </w:p>
      </w:tc>
      <w:tc>
        <w:tcPr>
          <w:tcW w:w="1209"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0"/>
            <w:jc w:val="center"/>
            <w:rPr>
              <w:b/>
              <w:sz w:val="16"/>
              <w:szCs w:val="16"/>
            </w:rPr>
          </w:pPr>
          <w:r>
            <w:rPr>
              <w:b/>
              <w:sz w:val="16"/>
              <w:szCs w:val="16"/>
            </w:rPr>
            <w:t>Paragraph/ Figure/ Table/</w:t>
          </w:r>
        </w:p>
        <w:p>
          <w:pPr>
            <w:pStyle w:val="Normal"/>
            <w:keepLines/>
            <w:spacing w:lineRule="exact" w:line="190" w:before="0" w:after="60"/>
            <w:jc w:val="center"/>
            <w:rPr>
              <w:b/>
              <w:sz w:val="16"/>
              <w:szCs w:val="16"/>
            </w:rPr>
          </w:pPr>
          <w:r>
            <w:rPr>
              <w:bCs/>
              <w:sz w:val="16"/>
            </w:rPr>
            <w:t>(e.g. Table 1)</w:t>
          </w:r>
        </w:p>
      </w:tc>
      <w:tc>
        <w:tcPr>
          <w:tcW w:w="1115"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rPr>
          </w:pPr>
          <w:r>
            <w:rPr>
              <w:b/>
              <w:sz w:val="16"/>
            </w:rPr>
            <w:t>Type of comment</w:t>
          </w:r>
          <w:r>
            <w:rPr>
              <w:b/>
              <w:bCs/>
              <w:position w:val="6"/>
              <w:sz w:val="12"/>
            </w:rPr>
            <w:t>2</w:t>
          </w:r>
        </w:p>
      </w:tc>
      <w:tc>
        <w:tcPr>
          <w:tcW w:w="4177"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rPr>
          </w:pPr>
          <w:r>
            <w:rPr>
              <w:b/>
              <w:sz w:val="16"/>
            </w:rPr>
            <w:t>Comments</w:t>
          </w:r>
        </w:p>
      </w:tc>
      <w:tc>
        <w:tcPr>
          <w:tcW w:w="4233"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rPr>
          </w:pPr>
          <w:r>
            <w:rPr>
              <w:b/>
              <w:sz w:val="16"/>
            </w:rPr>
            <w:t>Proposed change</w:t>
          </w:r>
        </w:p>
      </w:tc>
      <w:tc>
        <w:tcPr>
          <w:tcW w:w="2419" w:type="dxa"/>
          <w:tcBorders>
            <w:top w:val="single" w:sz="6" w:space="0" w:color="000000"/>
            <w:start w:val="single" w:sz="6" w:space="0" w:color="000000"/>
            <w:bottom w:val="single" w:sz="6" w:space="0" w:color="000000"/>
            <w:end w:val="single" w:sz="6" w:space="0" w:color="000000"/>
          </w:tcBorders>
        </w:tcPr>
        <w:p>
          <w:pPr>
            <w:pStyle w:val="Normal"/>
            <w:keepLines/>
            <w:spacing w:lineRule="exact" w:line="190" w:before="100" w:after="60"/>
            <w:jc w:val="center"/>
            <w:rPr>
              <w:b/>
              <w:sz w:val="16"/>
            </w:rPr>
          </w:pPr>
          <w:r>
            <w:rPr>
              <w:b/>
              <w:sz w:val="16"/>
            </w:rPr>
            <w:t>Observations of the secretariat</w:t>
          </w:r>
        </w:p>
      </w:tc>
    </w:tr>
  </w:tbl>
  <w:p>
    <w:pPr>
      <w:pStyle w:val="Header"/>
      <w:rPr>
        <w:sz w:val="2"/>
      </w:rPr>
    </w:pPr>
    <w:r>
      <w:rPr>
        <w:sz w:val="2"/>
      </w:rPr>
    </w:r>
  </w:p>
  <w:p>
    <w:pPr>
      <w:pStyle w:val="Header"/>
      <w:spacing w:lineRule="exact" w:line="14"/>
      <w:rPr>
        <w:sz w:val="4"/>
      </w:rPr>
    </w:pPr>
    <w:r>
      <w:rPr>
        <w:sz w:val="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851"/>
  <w:autoHyphenation w:val="true"/>
  <w:compat>
    <w:doNotBreakWrappedTables/>
    <w:compatSetting w:name="compatibilityMode" w:uri="http://schemas.microsoft.com/office/word" w:val="11"/>
  </w:compat>
  <w:docVars>
    <w:docVar w:name="O974ISO" w:val="-1"/>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jc w:val="both"/>
    </w:pPr>
    <w:rPr>
      <w:rFonts w:ascii="Arial" w:hAnsi="Arial" w:eastAsia="Times New Roman" w:cs="Arial"/>
      <w:color w:val="auto"/>
      <w:sz w:val="22"/>
      <w:szCs w:val="20"/>
      <w:lang w:val="en-GB" w:bidi="ar-SA" w:eastAsia="zh-CN"/>
    </w:rPr>
  </w:style>
  <w:style w:type="paragraph" w:styleId="Heading1">
    <w:name w:val="Heading 1"/>
    <w:basedOn w:val="Normal"/>
    <w:next w:val="Normal"/>
    <w:qFormat/>
    <w:pPr>
      <w:keepNext w:val="true"/>
      <w:numPr>
        <w:ilvl w:val="0"/>
        <w:numId w:val="1"/>
      </w:numPr>
      <w:spacing w:before="120" w:after="200"/>
      <w:outlineLvl w:val="0"/>
    </w:pPr>
    <w:rPr>
      <w:b/>
      <w:sz w:val="24"/>
    </w:rPr>
  </w:style>
  <w:style w:type="paragraph" w:styleId="Heading2">
    <w:name w:val="Heading 2"/>
    <w:basedOn w:val="Heading1"/>
    <w:next w:val="Normal"/>
    <w:qFormat/>
    <w:pPr>
      <w:numPr>
        <w:ilvl w:val="1"/>
        <w:numId w:val="1"/>
      </w:numPr>
      <w:spacing w:before="0" w:after="200"/>
      <w:ind w:hanging="567" w:start="567" w:end="0"/>
      <w:outlineLvl w:val="1"/>
    </w:pPr>
    <w:rPr>
      <w:sz w:val="22"/>
    </w:rPr>
  </w:style>
  <w:style w:type="paragraph" w:styleId="Heading3">
    <w:name w:val="Heading 3"/>
    <w:basedOn w:val="Heading2"/>
    <w:next w:val="Normal"/>
    <w:qFormat/>
    <w:pPr>
      <w:numPr>
        <w:ilvl w:val="2"/>
        <w:numId w:val="1"/>
      </w:numPr>
      <w:outlineLvl w:val="2"/>
    </w:pPr>
    <w:rPr>
      <w:b w:val="false"/>
    </w:rPr>
  </w:style>
  <w:style w:type="paragraph" w:styleId="Heading4">
    <w:name w:val="Heading 4"/>
    <w:basedOn w:val="Heading3"/>
    <w:next w:val="Normal"/>
    <w:qFormat/>
    <w:pPr>
      <w:numPr>
        <w:ilvl w:val="3"/>
        <w:numId w:val="1"/>
      </w:numPr>
      <w:outlineLvl w:val="3"/>
    </w:pPr>
    <w:rPr/>
  </w:style>
  <w:style w:type="character" w:styleId="DefaultParagraphFont">
    <w:name w:val="Default Paragraph Font"/>
    <w:qFormat/>
    <w:rPr/>
  </w:style>
  <w:style w:type="character" w:styleId="PageNumber">
    <w:name w:val="Page Number"/>
    <w:rPr>
      <w:sz w:val="20"/>
    </w:rPr>
  </w:style>
  <w:style w:type="character" w:styleId="MTEquationSection">
    <w:name w:val="MTEquationSection"/>
    <w:qFormat/>
    <w:rPr>
      <w:vanish w:val="false"/>
      <w:color w:val="FF0000"/>
      <w:sz w:val="16"/>
    </w:rPr>
  </w:style>
  <w:style w:type="character" w:styleId="FootnoteCharacters">
    <w:name w:val="Footnote Characters"/>
    <w:qFormat/>
    <w:rPr>
      <w:vertAlign w:val="superscript"/>
    </w:rPr>
  </w:style>
  <w:style w:type="character" w:styleId="mtequationsection1">
    <w:name w:val="mtequationsection1"/>
    <w:basedOn w:val="DefaultParagraphFont"/>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851"/>
        <w:tab w:val="center" w:pos="4819" w:leader="none"/>
        <w:tab w:val="right" w:pos="9638" w:leader="none"/>
      </w:tabs>
    </w:pPr>
    <w:rPr/>
  </w:style>
  <w:style w:type="paragraph" w:styleId="Footer">
    <w:name w:val="Footer"/>
    <w:basedOn w:val="Normal"/>
    <w:pPr>
      <w:tabs>
        <w:tab w:val="clear" w:pos="851"/>
        <w:tab w:val="center" w:pos="4820" w:leader="none"/>
        <w:tab w:val="right" w:pos="9639" w:leader="none"/>
      </w:tabs>
    </w:pPr>
    <w:rPr/>
  </w:style>
  <w:style w:type="paragraph" w:styleId="Header">
    <w:name w:val="Header"/>
    <w:basedOn w:val="Footer"/>
    <w:pPr/>
    <w:rPr/>
  </w:style>
  <w:style w:type="paragraph" w:styleId="ISOMB">
    <w:name w:val="ISO_MB"/>
    <w:basedOn w:val="Normal"/>
    <w:qFormat/>
    <w:pPr>
      <w:spacing w:lineRule="exact" w:line="210" w:before="210" w:after="0"/>
      <w:jc w:val="start"/>
    </w:pPr>
    <w:rPr>
      <w:sz w:val="18"/>
    </w:rPr>
  </w:style>
  <w:style w:type="paragraph" w:styleId="ISOClause">
    <w:name w:val="ISO_Clause"/>
    <w:basedOn w:val="Normal"/>
    <w:qFormat/>
    <w:pPr>
      <w:spacing w:lineRule="exact" w:line="210" w:before="210" w:after="0"/>
      <w:jc w:val="start"/>
    </w:pPr>
    <w:rPr>
      <w:sz w:val="18"/>
    </w:rPr>
  </w:style>
  <w:style w:type="paragraph" w:styleId="ISOParagraph">
    <w:name w:val="ISO_Paragraph"/>
    <w:basedOn w:val="Normal"/>
    <w:qFormat/>
    <w:pPr>
      <w:spacing w:lineRule="exact" w:line="210" w:before="210" w:after="0"/>
      <w:jc w:val="start"/>
    </w:pPr>
    <w:rPr>
      <w:sz w:val="18"/>
    </w:rPr>
  </w:style>
  <w:style w:type="paragraph" w:styleId="ISOCommType">
    <w:name w:val="ISO_Comm_Type"/>
    <w:basedOn w:val="Normal"/>
    <w:qFormat/>
    <w:pPr>
      <w:spacing w:lineRule="exact" w:line="210" w:before="210" w:after="0"/>
      <w:jc w:val="start"/>
    </w:pPr>
    <w:rPr>
      <w:sz w:val="18"/>
    </w:rPr>
  </w:style>
  <w:style w:type="paragraph" w:styleId="ISOComments">
    <w:name w:val="ISO_Comments"/>
    <w:basedOn w:val="Normal"/>
    <w:qFormat/>
    <w:pPr>
      <w:spacing w:lineRule="exact" w:line="210" w:before="210" w:after="0"/>
      <w:jc w:val="start"/>
    </w:pPr>
    <w:rPr>
      <w:sz w:val="18"/>
    </w:rPr>
  </w:style>
  <w:style w:type="paragraph" w:styleId="ISOChange">
    <w:name w:val="ISO_Change"/>
    <w:basedOn w:val="Normal"/>
    <w:qFormat/>
    <w:pPr>
      <w:spacing w:lineRule="exact" w:line="210" w:before="210" w:after="0"/>
      <w:jc w:val="start"/>
    </w:pPr>
    <w:rPr>
      <w:sz w:val="18"/>
    </w:rPr>
  </w:style>
  <w:style w:type="paragraph" w:styleId="ISOSecretObservations">
    <w:name w:val="ISO_Secret_Observations"/>
    <w:basedOn w:val="Normal"/>
    <w:qFormat/>
    <w:pPr>
      <w:spacing w:lineRule="exact" w:line="210" w:before="210" w:after="0"/>
      <w:jc w:val="start"/>
    </w:pPr>
    <w:rPr>
      <w:sz w:val="18"/>
    </w:rPr>
  </w:style>
  <w:style w:type="paragraph" w:styleId="FootnoteText">
    <w:name w:val="Footnote Text"/>
    <w:basedOn w:val="Normal"/>
    <w:pPr/>
    <w:rPr>
      <w:sz w:val="20"/>
    </w:rPr>
  </w:style>
  <w:style w:type="paragraph" w:styleId="Default">
    <w:name w:val="Default"/>
    <w:qFormat/>
    <w:pPr>
      <w:widowControl/>
      <w:autoSpaceDE w:val="false"/>
      <w:bidi w:val="0"/>
    </w:pPr>
    <w:rPr>
      <w:rFonts w:ascii="Arial" w:hAnsi="Arial" w:eastAsia="Times New Roman" w:cs="Arial"/>
      <w:color w:val="000000"/>
      <w:sz w:val="24"/>
      <w:szCs w:val="24"/>
      <w:lang w:val="en-US"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commentmd1template.dot</Template>
  <TotalTime>26</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2026-07-01T16:47:00Z</dcterms:created>
  <dc:creator>dow</dc:creator>
  <dc:description>FORM (ISO)</dc:description>
  <cp:keywords/>
  <dc:language>en-US</dc:language>
  <cp:lastModifiedBy>Lorna Scheel</cp:lastModifiedBy>
  <cp:lastPrinted>2001-10-25T14:04:00Z</cp:lastPrinted>
  <dcterms:modified xsi:type="dcterms:W3CDTF">2026-07-01T17:12:00Z</dcterms:modified>
  <cp:revision>3</cp:revision>
  <dc:subject/>
  <dc:title>CommentsOn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Operation">
    <vt:lpwstr>SavedAs</vt:lpwstr>
  </property>
</Properties>
</file>